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26A56" w14:textId="2F129867" w:rsidR="00A57587" w:rsidRDefault="00637F9B" w:rsidP="00536674">
      <w:pPr>
        <w:jc w:val="center"/>
      </w:pPr>
      <w:r>
        <w:rPr>
          <w:noProof/>
          <w14:ligatures w14:val="standardContextual"/>
        </w:rPr>
        <w:drawing>
          <wp:inline distT="0" distB="0" distL="0" distR="0" wp14:anchorId="776D7A83" wp14:editId="32DF50A1">
            <wp:extent cx="4857750" cy="1143855"/>
            <wp:effectExtent l="0" t="0" r="0" b="0"/>
            <wp:docPr id="927524547" name="Picture 1" descr="A picture containing funne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24547" name="Picture 1" descr="A picture containing funnel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5132" cy="1145593"/>
                    </a:xfrm>
                    <a:prstGeom prst="rect">
                      <a:avLst/>
                    </a:prstGeom>
                  </pic:spPr>
                </pic:pic>
              </a:graphicData>
            </a:graphic>
          </wp:inline>
        </w:drawing>
      </w:r>
    </w:p>
    <w:p w14:paraId="59315C8C" w14:textId="77777777" w:rsidR="001C4EF4" w:rsidRDefault="001C4EF4" w:rsidP="001C4EF4">
      <w:pPr>
        <w:rPr>
          <w:b/>
          <w:bCs/>
        </w:rPr>
      </w:pPr>
    </w:p>
    <w:p w14:paraId="72D320E5" w14:textId="77777777" w:rsidR="004948A1" w:rsidRDefault="004948A1" w:rsidP="00536674">
      <w:pPr>
        <w:jc w:val="center"/>
        <w:rPr>
          <w:rFonts w:ascii="Arial Black" w:hAnsi="Arial Black"/>
          <w:color w:val="C00000"/>
          <w:sz w:val="28"/>
          <w:szCs w:val="28"/>
        </w:rPr>
      </w:pPr>
    </w:p>
    <w:p w14:paraId="43CB5071" w14:textId="34E1DA26" w:rsidR="00536674" w:rsidRPr="00536674" w:rsidRDefault="008B643A" w:rsidP="00536674">
      <w:pPr>
        <w:jc w:val="center"/>
        <w:rPr>
          <w:rFonts w:ascii="Arial Black" w:hAnsi="Arial Black"/>
          <w:color w:val="C00000"/>
          <w:sz w:val="28"/>
          <w:szCs w:val="28"/>
        </w:rPr>
      </w:pPr>
      <w:r>
        <w:rPr>
          <w:rFonts w:ascii="Arial Black" w:hAnsi="Arial Black"/>
          <w:color w:val="C00000"/>
          <w:sz w:val="28"/>
          <w:szCs w:val="28"/>
        </w:rPr>
        <w:t>SUP</w:t>
      </w:r>
      <w:r w:rsidRPr="004948A1">
        <w:rPr>
          <w:rFonts w:ascii="Arial Black" w:hAnsi="Arial Black"/>
          <w:color w:val="C00000"/>
          <w:sz w:val="28"/>
          <w:szCs w:val="28"/>
        </w:rPr>
        <w:t xml:space="preserve">PORT </w:t>
      </w:r>
      <w:r w:rsidR="002079AC">
        <w:rPr>
          <w:rFonts w:ascii="Arial Black" w:hAnsi="Arial Black"/>
          <w:color w:val="C00000"/>
          <w:sz w:val="28"/>
          <w:szCs w:val="28"/>
        </w:rPr>
        <w:t>S</w:t>
      </w:r>
      <w:r w:rsidR="009611A6">
        <w:rPr>
          <w:rFonts w:ascii="Arial Black" w:hAnsi="Arial Black"/>
          <w:color w:val="C00000"/>
          <w:sz w:val="28"/>
          <w:szCs w:val="28"/>
        </w:rPr>
        <w:t xml:space="preserve">B </w:t>
      </w:r>
      <w:r w:rsidR="002079AC">
        <w:rPr>
          <w:rFonts w:ascii="Arial Black" w:hAnsi="Arial Black"/>
          <w:color w:val="C00000"/>
          <w:sz w:val="28"/>
          <w:szCs w:val="28"/>
        </w:rPr>
        <w:t>192</w:t>
      </w:r>
      <w:r w:rsidR="009611A6">
        <w:rPr>
          <w:rFonts w:ascii="Arial Black" w:hAnsi="Arial Black"/>
          <w:color w:val="C00000"/>
          <w:sz w:val="28"/>
          <w:szCs w:val="28"/>
        </w:rPr>
        <w:t xml:space="preserve"> by </w:t>
      </w:r>
      <w:r w:rsidR="002079AC">
        <w:rPr>
          <w:rFonts w:ascii="Arial Black" w:hAnsi="Arial Black"/>
          <w:color w:val="C00000"/>
          <w:sz w:val="28"/>
          <w:szCs w:val="28"/>
        </w:rPr>
        <w:t>Senator Franklin Foil:</w:t>
      </w:r>
      <w:r w:rsidR="002079AC">
        <w:rPr>
          <w:rFonts w:ascii="Arial Black" w:hAnsi="Arial Black"/>
          <w:color w:val="C00000"/>
          <w:sz w:val="28"/>
          <w:szCs w:val="28"/>
        </w:rPr>
        <w:br/>
        <w:t>Giving Dentists Choice in Reimbursement Methods</w:t>
      </w:r>
      <w:r w:rsidR="00536674">
        <w:rPr>
          <w:rFonts w:ascii="Arial Black" w:hAnsi="Arial Black"/>
          <w:color w:val="C00000"/>
          <w:sz w:val="28"/>
          <w:szCs w:val="28"/>
        </w:rPr>
        <w:t xml:space="preserve"> </w:t>
      </w:r>
    </w:p>
    <w:p w14:paraId="1CDF7B78" w14:textId="4CB765F5" w:rsidR="0091666C" w:rsidRPr="0091666C" w:rsidRDefault="0091666C" w:rsidP="00F94FD0">
      <w:pPr>
        <w:rPr>
          <w:szCs w:val="24"/>
        </w:rPr>
      </w:pPr>
    </w:p>
    <w:p w14:paraId="22E4D1B8" w14:textId="69A715CA" w:rsidR="002079AC" w:rsidRPr="000D7477" w:rsidRDefault="002079AC" w:rsidP="002079AC">
      <w:pPr>
        <w:pStyle w:val="Title"/>
        <w:jc w:val="left"/>
        <w:rPr>
          <w:b w:val="0"/>
          <w:sz w:val="22"/>
          <w:szCs w:val="22"/>
        </w:rPr>
      </w:pPr>
      <w:r w:rsidRPr="000D7477">
        <w:rPr>
          <w:b w:val="0"/>
          <w:sz w:val="22"/>
          <w:szCs w:val="22"/>
        </w:rPr>
        <w:t>In recent years, insurance companies have started paying healthcare providers using electronic payments, including virtual credit cards. A virtual credit card works much the same as a physical credit card except that the insurance company issues a single-use series of numbers instead of a card, and the provider then enters the numbers into a credit card terminal or web portal to get payment transferred to his/her designated account.</w:t>
      </w:r>
      <w:r w:rsidR="000D7477" w:rsidRPr="000D7477">
        <w:rPr>
          <w:b w:val="0"/>
          <w:sz w:val="22"/>
          <w:szCs w:val="22"/>
        </w:rPr>
        <w:t xml:space="preserve"> Sounds easy enough, right? Until you consider the fees</w:t>
      </w:r>
      <w:proofErr w:type="gramStart"/>
      <w:r w:rsidR="000D7477" w:rsidRPr="000D7477">
        <w:rPr>
          <w:b w:val="0"/>
          <w:sz w:val="22"/>
          <w:szCs w:val="22"/>
        </w:rPr>
        <w:t>…..</w:t>
      </w:r>
      <w:proofErr w:type="gramEnd"/>
      <w:r w:rsidRPr="000D7477">
        <w:rPr>
          <w:b w:val="0"/>
          <w:sz w:val="22"/>
          <w:szCs w:val="22"/>
        </w:rPr>
        <w:br/>
      </w:r>
    </w:p>
    <w:p w14:paraId="32570444" w14:textId="129056B1" w:rsidR="00812595" w:rsidRPr="000D7477" w:rsidRDefault="002079AC" w:rsidP="002079AC">
      <w:pPr>
        <w:pStyle w:val="Title"/>
        <w:jc w:val="left"/>
        <w:rPr>
          <w:b w:val="0"/>
          <w:sz w:val="22"/>
          <w:szCs w:val="22"/>
        </w:rPr>
      </w:pPr>
      <w:r w:rsidRPr="000D7477">
        <w:rPr>
          <w:b w:val="0"/>
          <w:sz w:val="22"/>
          <w:szCs w:val="22"/>
        </w:rPr>
        <w:t xml:space="preserve">Like any other credit card transaction, the merchant receiving the payment incurs a processing fee, which can range from 2.5-5% on the underlying charge.  This means that whenever a provider is reimbursed this way by an insurance company, 2.5-5% is automatically subtracted from that reimbursement payment. So, if a practice received total reimbursements of $1,000,000/year all via virtual credit card payments, that is an automatic expense of $25,000-50,000/year for that practice. </w:t>
      </w:r>
      <w:r w:rsidR="00A176E3" w:rsidRPr="000D7477">
        <w:rPr>
          <w:b w:val="0"/>
          <w:sz w:val="22"/>
          <w:szCs w:val="22"/>
        </w:rPr>
        <w:t xml:space="preserve">(That’s on top of accepting payment that’s often </w:t>
      </w:r>
      <w:r w:rsidR="000D7477" w:rsidRPr="000D7477">
        <w:rPr>
          <w:b w:val="0"/>
          <w:sz w:val="22"/>
          <w:szCs w:val="22"/>
        </w:rPr>
        <w:t xml:space="preserve">more than </w:t>
      </w:r>
      <w:r w:rsidR="00A176E3" w:rsidRPr="000D7477">
        <w:rPr>
          <w:b w:val="0"/>
          <w:sz w:val="22"/>
          <w:szCs w:val="22"/>
        </w:rPr>
        <w:t xml:space="preserve">30% </w:t>
      </w:r>
      <w:r w:rsidR="000D7477" w:rsidRPr="000D7477">
        <w:rPr>
          <w:b w:val="0"/>
          <w:sz w:val="22"/>
          <w:szCs w:val="22"/>
        </w:rPr>
        <w:t>LESS</w:t>
      </w:r>
      <w:r w:rsidR="00A176E3" w:rsidRPr="000D7477">
        <w:rPr>
          <w:b w:val="0"/>
          <w:sz w:val="22"/>
          <w:szCs w:val="22"/>
        </w:rPr>
        <w:t xml:space="preserve"> than the dentist’s usual fee.)</w:t>
      </w:r>
    </w:p>
    <w:p w14:paraId="1DE9502E" w14:textId="77777777" w:rsidR="00812595" w:rsidRPr="000D7477" w:rsidRDefault="00812595" w:rsidP="002079AC">
      <w:pPr>
        <w:pStyle w:val="Title"/>
        <w:jc w:val="left"/>
        <w:rPr>
          <w:b w:val="0"/>
          <w:sz w:val="22"/>
          <w:szCs w:val="22"/>
        </w:rPr>
      </w:pPr>
    </w:p>
    <w:p w14:paraId="5E386F80" w14:textId="77777777" w:rsidR="00A176E3" w:rsidRPr="000D7477" w:rsidRDefault="00812595" w:rsidP="002079AC">
      <w:pPr>
        <w:pStyle w:val="Title"/>
        <w:jc w:val="left"/>
        <w:rPr>
          <w:b w:val="0"/>
          <w:sz w:val="22"/>
          <w:szCs w:val="22"/>
        </w:rPr>
      </w:pPr>
      <w:r w:rsidRPr="000D7477">
        <w:rPr>
          <w:b w:val="0"/>
          <w:sz w:val="22"/>
          <w:szCs w:val="22"/>
        </w:rPr>
        <w:t xml:space="preserve">The National Council of Insurance Legislators (NCOIL) studied this concept and agreed on model legislation and the LDA passed that legislation in 2019. </w:t>
      </w:r>
      <w:r w:rsidR="00A176E3" w:rsidRPr="000D7477">
        <w:rPr>
          <w:b w:val="0"/>
          <w:sz w:val="22"/>
          <w:szCs w:val="22"/>
        </w:rPr>
        <w:t xml:space="preserve">It allowed dental offices to opt out of the virtual credit card system and choose alternate methods of payment. </w:t>
      </w:r>
      <w:r w:rsidRPr="000D7477">
        <w:rPr>
          <w:b w:val="0"/>
          <w:sz w:val="22"/>
          <w:szCs w:val="22"/>
        </w:rPr>
        <w:t xml:space="preserve">After monitoring its success, NCOIL in 2025 amended the model to </w:t>
      </w:r>
      <w:r w:rsidR="00A176E3" w:rsidRPr="000D7477">
        <w:rPr>
          <w:b w:val="0"/>
          <w:sz w:val="22"/>
          <w:szCs w:val="22"/>
        </w:rPr>
        <w:t xml:space="preserve">suggest that dentists automatically are opted out of </w:t>
      </w:r>
      <w:proofErr w:type="gramStart"/>
      <w:r w:rsidR="00A176E3" w:rsidRPr="000D7477">
        <w:rPr>
          <w:b w:val="0"/>
          <w:sz w:val="22"/>
          <w:szCs w:val="22"/>
        </w:rPr>
        <w:t>the virtual</w:t>
      </w:r>
      <w:proofErr w:type="gramEnd"/>
      <w:r w:rsidR="00A176E3" w:rsidRPr="000D7477">
        <w:rPr>
          <w:b w:val="0"/>
          <w:sz w:val="22"/>
          <w:szCs w:val="22"/>
        </w:rPr>
        <w:t xml:space="preserve"> credit card and they </w:t>
      </w:r>
      <w:proofErr w:type="gramStart"/>
      <w:r w:rsidR="00A176E3" w:rsidRPr="000D7477">
        <w:rPr>
          <w:b w:val="0"/>
          <w:sz w:val="22"/>
          <w:szCs w:val="22"/>
        </w:rPr>
        <w:t>have to</w:t>
      </w:r>
      <w:proofErr w:type="gramEnd"/>
      <w:r w:rsidR="00A176E3" w:rsidRPr="000D7477">
        <w:rPr>
          <w:b w:val="0"/>
          <w:sz w:val="22"/>
          <w:szCs w:val="22"/>
        </w:rPr>
        <w:t xml:space="preserve"> opt in if they choose to accept that method of payment. </w:t>
      </w:r>
    </w:p>
    <w:p w14:paraId="2F5C65AE" w14:textId="77777777" w:rsidR="00A176E3" w:rsidRPr="000D7477" w:rsidRDefault="00A176E3" w:rsidP="002079AC">
      <w:pPr>
        <w:pStyle w:val="Title"/>
        <w:jc w:val="left"/>
        <w:rPr>
          <w:b w:val="0"/>
          <w:sz w:val="22"/>
          <w:szCs w:val="22"/>
        </w:rPr>
      </w:pPr>
    </w:p>
    <w:p w14:paraId="3F4E47C6" w14:textId="27519608" w:rsidR="002079AC" w:rsidRPr="000D7477" w:rsidRDefault="00A176E3" w:rsidP="002079AC">
      <w:pPr>
        <w:pStyle w:val="Title"/>
        <w:jc w:val="left"/>
        <w:rPr>
          <w:b w:val="0"/>
          <w:sz w:val="22"/>
          <w:szCs w:val="22"/>
        </w:rPr>
      </w:pPr>
      <w:r w:rsidRPr="000D7477">
        <w:rPr>
          <w:b w:val="0"/>
          <w:sz w:val="22"/>
          <w:szCs w:val="22"/>
        </w:rPr>
        <w:t>Since the LDA had received notice from dentists that several dental insurance companies were requiring yearly opt out of the virtual credit cards, SB 192 was filed</w:t>
      </w:r>
      <w:r w:rsidR="000D7477" w:rsidRPr="000D7477">
        <w:rPr>
          <w:b w:val="0"/>
          <w:sz w:val="22"/>
          <w:szCs w:val="22"/>
        </w:rPr>
        <w:t xml:space="preserve"> in response to NCOIL’s updated model legislation</w:t>
      </w:r>
      <w:r w:rsidRPr="000D7477">
        <w:rPr>
          <w:b w:val="0"/>
          <w:sz w:val="22"/>
          <w:szCs w:val="22"/>
        </w:rPr>
        <w:t xml:space="preserve">. </w:t>
      </w:r>
    </w:p>
    <w:p w14:paraId="5B578D60" w14:textId="77777777" w:rsidR="000D7477" w:rsidRPr="000D7477" w:rsidRDefault="000D7477" w:rsidP="002079AC">
      <w:pPr>
        <w:pStyle w:val="Title"/>
        <w:jc w:val="left"/>
        <w:rPr>
          <w:b w:val="0"/>
          <w:sz w:val="22"/>
          <w:szCs w:val="22"/>
        </w:rPr>
      </w:pPr>
    </w:p>
    <w:p w14:paraId="0FD3DC3D" w14:textId="3C0DC427" w:rsidR="000D7477" w:rsidRPr="000D7477" w:rsidRDefault="000D7477" w:rsidP="002079AC">
      <w:pPr>
        <w:pStyle w:val="Title"/>
        <w:jc w:val="left"/>
        <w:rPr>
          <w:b w:val="0"/>
          <w:sz w:val="22"/>
          <w:szCs w:val="22"/>
        </w:rPr>
      </w:pPr>
      <w:r w:rsidRPr="000D7477">
        <w:rPr>
          <w:b w:val="0"/>
          <w:sz w:val="22"/>
          <w:szCs w:val="22"/>
        </w:rPr>
        <w:t xml:space="preserve">SB 192 is </w:t>
      </w:r>
      <w:r w:rsidRPr="006D32C7">
        <w:rPr>
          <w:b w:val="0"/>
          <w:sz w:val="22"/>
          <w:szCs w:val="22"/>
          <w:u w:val="single"/>
        </w:rPr>
        <w:t>not</w:t>
      </w:r>
      <w:r w:rsidRPr="000D7477">
        <w:rPr>
          <w:b w:val="0"/>
          <w:sz w:val="22"/>
          <w:szCs w:val="22"/>
        </w:rPr>
        <w:t xml:space="preserve"> about patient payments. It is about how insurance carriers pay the dentist. Many dental offices across Louisiana are small businesses with tight bottom lines! They are doing their best to hold down unnecessary and burdensome costs so that they don’t have to pass that on to their patients. In some cases, the carrier </w:t>
      </w:r>
      <w:proofErr w:type="gramStart"/>
      <w:r w:rsidRPr="000D7477">
        <w:rPr>
          <w:b w:val="0"/>
          <w:sz w:val="22"/>
          <w:szCs w:val="22"/>
        </w:rPr>
        <w:t>actually receives</w:t>
      </w:r>
      <w:proofErr w:type="gramEnd"/>
      <w:r w:rsidRPr="000D7477">
        <w:rPr>
          <w:b w:val="0"/>
          <w:sz w:val="22"/>
          <w:szCs w:val="22"/>
        </w:rPr>
        <w:t xml:space="preserve"> a share of the revenue generated from these transaction fees. </w:t>
      </w:r>
    </w:p>
    <w:p w14:paraId="43E36B1B" w14:textId="77777777" w:rsidR="000D7477" w:rsidRPr="000D7477" w:rsidRDefault="000D7477" w:rsidP="002079AC">
      <w:pPr>
        <w:pStyle w:val="Title"/>
        <w:jc w:val="left"/>
        <w:rPr>
          <w:b w:val="0"/>
          <w:sz w:val="22"/>
          <w:szCs w:val="22"/>
        </w:rPr>
      </w:pPr>
    </w:p>
    <w:p w14:paraId="32E70B14" w14:textId="4E95892C" w:rsidR="004948A1" w:rsidRPr="000D7477" w:rsidRDefault="000D7477" w:rsidP="000D7477">
      <w:pPr>
        <w:pStyle w:val="Title"/>
        <w:jc w:val="left"/>
        <w:rPr>
          <w:sz w:val="22"/>
          <w:szCs w:val="22"/>
        </w:rPr>
      </w:pPr>
      <w:r w:rsidRPr="000D7477">
        <w:rPr>
          <w:b w:val="0"/>
          <w:sz w:val="22"/>
          <w:szCs w:val="22"/>
        </w:rPr>
        <w:t xml:space="preserve">Bottom line – the dentist accepts a fee schedule from an insurance carrier that is at 70% of their normal rates and if they are forced to accept a virtual credit card, they would lose up to another 5%. Let’s simplify the process for these small businesses. Support this legislation and they can opt in if they want to be paid via a virtual credit card! </w:t>
      </w:r>
    </w:p>
    <w:p w14:paraId="0556861C" w14:textId="77777777" w:rsidR="004948A1" w:rsidRDefault="004948A1" w:rsidP="004948A1">
      <w:pPr>
        <w:rPr>
          <w:szCs w:val="24"/>
        </w:rPr>
      </w:pPr>
    </w:p>
    <w:p w14:paraId="5B3B46FF" w14:textId="3C2BA89D" w:rsidR="004948A1" w:rsidRPr="004948A1" w:rsidRDefault="004948A1" w:rsidP="004948A1">
      <w:pPr>
        <w:pStyle w:val="NoSpacing"/>
        <w:spacing w:line="360" w:lineRule="auto"/>
        <w:jc w:val="center"/>
        <w:rPr>
          <w:rFonts w:ascii="Arial Black" w:eastAsia="Times New Roman" w:hAnsi="Arial Black"/>
          <w:b/>
          <w:bCs/>
          <w:color w:val="C00000"/>
          <w:sz w:val="32"/>
          <w:szCs w:val="32"/>
          <w:u w:val="single"/>
        </w:rPr>
      </w:pPr>
      <w:r w:rsidRPr="004948A1">
        <w:rPr>
          <w:rFonts w:ascii="Arial Black" w:hAnsi="Arial Black"/>
          <w:b/>
          <w:bCs/>
          <w:color w:val="C00000"/>
          <w:sz w:val="32"/>
          <w:szCs w:val="32"/>
          <w:u w:val="single"/>
        </w:rPr>
        <w:t xml:space="preserve">Please Vote YES on </w:t>
      </w:r>
      <w:r w:rsidR="002079AC">
        <w:rPr>
          <w:rFonts w:ascii="Arial Black" w:hAnsi="Arial Black"/>
          <w:b/>
          <w:bCs/>
          <w:color w:val="C00000"/>
          <w:sz w:val="32"/>
          <w:szCs w:val="32"/>
          <w:u w:val="single"/>
        </w:rPr>
        <w:t>S</w:t>
      </w:r>
      <w:r w:rsidR="00435EF1">
        <w:rPr>
          <w:rFonts w:ascii="Arial Black" w:hAnsi="Arial Black"/>
          <w:b/>
          <w:bCs/>
          <w:color w:val="C00000"/>
          <w:sz w:val="32"/>
          <w:szCs w:val="32"/>
          <w:u w:val="single"/>
        </w:rPr>
        <w:t xml:space="preserve">B </w:t>
      </w:r>
      <w:r w:rsidR="002079AC">
        <w:rPr>
          <w:rFonts w:ascii="Arial Black" w:hAnsi="Arial Black"/>
          <w:b/>
          <w:bCs/>
          <w:color w:val="C00000"/>
          <w:sz w:val="32"/>
          <w:szCs w:val="32"/>
          <w:u w:val="single"/>
        </w:rPr>
        <w:t>192</w:t>
      </w:r>
    </w:p>
    <w:p w14:paraId="0051BFE4" w14:textId="77777777" w:rsidR="004948A1" w:rsidRPr="0043236F" w:rsidRDefault="004948A1" w:rsidP="004948A1">
      <w:pPr>
        <w:rPr>
          <w:szCs w:val="24"/>
        </w:rPr>
      </w:pPr>
    </w:p>
    <w:p w14:paraId="2FDF4127" w14:textId="08B75707" w:rsidR="0091666C" w:rsidRPr="00F5549E" w:rsidRDefault="004948A1" w:rsidP="004948A1">
      <w:pPr>
        <w:rPr>
          <w:rFonts w:ascii="Arial" w:hAnsi="Arial" w:cs="Arial"/>
          <w:b/>
          <w:bCs/>
          <w:i/>
          <w:iCs/>
          <w:color w:val="000000"/>
          <w:sz w:val="20"/>
        </w:rPr>
      </w:pPr>
      <w:r w:rsidRPr="004948A1">
        <w:rPr>
          <w:rFonts w:ascii="Arial" w:hAnsi="Arial" w:cs="Arial"/>
          <w:i/>
          <w:iCs/>
          <w:sz w:val="20"/>
        </w:rPr>
        <w:t>The mission of the LDA is to promote, advocate, and protect the dental profession. The LDA membership represents approximately 75% of the dentists in Louisiana.</w:t>
      </w:r>
      <w:r>
        <w:rPr>
          <w:rFonts w:ascii="Arial" w:hAnsi="Arial" w:cs="Arial"/>
          <w:i/>
          <w:iCs/>
          <w:sz w:val="20"/>
        </w:rPr>
        <w:t xml:space="preserve"> For more information, call Annette Droddy at the LDA at (225) 926-1986 or email </w:t>
      </w:r>
      <w:hyperlink r:id="rId9" w:history="1">
        <w:r w:rsidRPr="00842960">
          <w:rPr>
            <w:rStyle w:val="Hyperlink"/>
            <w:rFonts w:ascii="Arial" w:hAnsi="Arial" w:cs="Arial"/>
            <w:i/>
            <w:iCs/>
            <w:sz w:val="20"/>
          </w:rPr>
          <w:t>annette@ladental.org</w:t>
        </w:r>
      </w:hyperlink>
      <w:r>
        <w:rPr>
          <w:rFonts w:ascii="Arial" w:hAnsi="Arial" w:cs="Arial"/>
          <w:i/>
          <w:iCs/>
          <w:sz w:val="20"/>
        </w:rPr>
        <w:t xml:space="preserve">. </w:t>
      </w:r>
    </w:p>
    <w:sectPr w:rsidR="0091666C" w:rsidRPr="00F5549E" w:rsidSect="000D7477">
      <w:headerReference w:type="default" r:id="rId10"/>
      <w:type w:val="continuous"/>
      <w:pgSz w:w="12240" w:h="15840" w:code="1"/>
      <w:pgMar w:top="1152" w:right="1152" w:bottom="1152" w:left="1152"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E8D59" w14:textId="77777777" w:rsidR="00AD480D" w:rsidRDefault="00AD480D">
      <w:r>
        <w:separator/>
      </w:r>
    </w:p>
  </w:endnote>
  <w:endnote w:type="continuationSeparator" w:id="0">
    <w:p w14:paraId="2E9F5DF9" w14:textId="77777777" w:rsidR="00AD480D" w:rsidRDefault="00AD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8C90" w14:textId="77777777" w:rsidR="00AD480D" w:rsidRDefault="00AD480D">
      <w:r>
        <w:separator/>
      </w:r>
    </w:p>
  </w:footnote>
  <w:footnote w:type="continuationSeparator" w:id="0">
    <w:p w14:paraId="3E84B45C" w14:textId="77777777" w:rsidR="00AD480D" w:rsidRDefault="00AD4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29F2" w14:textId="6709C1B8" w:rsidR="00A034B4" w:rsidRPr="00A034B4" w:rsidRDefault="00A034B4">
    <w:pPr>
      <w:pStyle w:val="Head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5B49"/>
    <w:multiLevelType w:val="hybridMultilevel"/>
    <w:tmpl w:val="A11883F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311344E"/>
    <w:multiLevelType w:val="hybridMultilevel"/>
    <w:tmpl w:val="A77E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81558C"/>
    <w:multiLevelType w:val="hybridMultilevel"/>
    <w:tmpl w:val="2D56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8022D3"/>
    <w:multiLevelType w:val="hybridMultilevel"/>
    <w:tmpl w:val="65A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0026458">
    <w:abstractNumId w:val="2"/>
  </w:num>
  <w:num w:numId="2" w16cid:durableId="1911576439">
    <w:abstractNumId w:val="0"/>
  </w:num>
  <w:num w:numId="3" w16cid:durableId="832767781">
    <w:abstractNumId w:val="3"/>
  </w:num>
  <w:num w:numId="4" w16cid:durableId="186983056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FB"/>
    <w:rsid w:val="00032E64"/>
    <w:rsid w:val="00057290"/>
    <w:rsid w:val="000A6921"/>
    <w:rsid w:val="000B41BB"/>
    <w:rsid w:val="000D7477"/>
    <w:rsid w:val="000E24EC"/>
    <w:rsid w:val="00106E51"/>
    <w:rsid w:val="00111DE5"/>
    <w:rsid w:val="00132265"/>
    <w:rsid w:val="00135B5C"/>
    <w:rsid w:val="00144BB8"/>
    <w:rsid w:val="001513A2"/>
    <w:rsid w:val="001558EC"/>
    <w:rsid w:val="00160DA2"/>
    <w:rsid w:val="00166F6A"/>
    <w:rsid w:val="001B0E5F"/>
    <w:rsid w:val="001C4EF4"/>
    <w:rsid w:val="001C6271"/>
    <w:rsid w:val="001E1167"/>
    <w:rsid w:val="00205C4E"/>
    <w:rsid w:val="002079AC"/>
    <w:rsid w:val="00222300"/>
    <w:rsid w:val="00227787"/>
    <w:rsid w:val="00260616"/>
    <w:rsid w:val="00266E55"/>
    <w:rsid w:val="002702CA"/>
    <w:rsid w:val="002841B5"/>
    <w:rsid w:val="002867CA"/>
    <w:rsid w:val="002A26F3"/>
    <w:rsid w:val="002D17B5"/>
    <w:rsid w:val="002F5750"/>
    <w:rsid w:val="003133DC"/>
    <w:rsid w:val="00313865"/>
    <w:rsid w:val="003144B4"/>
    <w:rsid w:val="00314754"/>
    <w:rsid w:val="0032594E"/>
    <w:rsid w:val="00327582"/>
    <w:rsid w:val="00334238"/>
    <w:rsid w:val="00347A62"/>
    <w:rsid w:val="003608F0"/>
    <w:rsid w:val="00367397"/>
    <w:rsid w:val="00374984"/>
    <w:rsid w:val="003A7CE6"/>
    <w:rsid w:val="003B5333"/>
    <w:rsid w:val="003C2E33"/>
    <w:rsid w:val="003D1400"/>
    <w:rsid w:val="003D52A2"/>
    <w:rsid w:val="003F7B05"/>
    <w:rsid w:val="00435EF1"/>
    <w:rsid w:val="00460447"/>
    <w:rsid w:val="00466F13"/>
    <w:rsid w:val="00481C6C"/>
    <w:rsid w:val="004948A1"/>
    <w:rsid w:val="004968D4"/>
    <w:rsid w:val="004B0BBE"/>
    <w:rsid w:val="004B796E"/>
    <w:rsid w:val="004D6C02"/>
    <w:rsid w:val="004E7918"/>
    <w:rsid w:val="00501204"/>
    <w:rsid w:val="00506EEA"/>
    <w:rsid w:val="00536674"/>
    <w:rsid w:val="00536698"/>
    <w:rsid w:val="005648E4"/>
    <w:rsid w:val="00596F5F"/>
    <w:rsid w:val="005B5135"/>
    <w:rsid w:val="005D7FE3"/>
    <w:rsid w:val="005E5BEA"/>
    <w:rsid w:val="005E6ADF"/>
    <w:rsid w:val="00602012"/>
    <w:rsid w:val="00605AF6"/>
    <w:rsid w:val="00616CE3"/>
    <w:rsid w:val="00623D21"/>
    <w:rsid w:val="00637F9B"/>
    <w:rsid w:val="0067485A"/>
    <w:rsid w:val="0068586B"/>
    <w:rsid w:val="00692255"/>
    <w:rsid w:val="006D32C7"/>
    <w:rsid w:val="006D7F2F"/>
    <w:rsid w:val="006E19DC"/>
    <w:rsid w:val="006E1C6A"/>
    <w:rsid w:val="006E6B46"/>
    <w:rsid w:val="00703406"/>
    <w:rsid w:val="0070554F"/>
    <w:rsid w:val="00710327"/>
    <w:rsid w:val="00712A9A"/>
    <w:rsid w:val="00715FB8"/>
    <w:rsid w:val="0071716D"/>
    <w:rsid w:val="007515D1"/>
    <w:rsid w:val="00762E98"/>
    <w:rsid w:val="00767816"/>
    <w:rsid w:val="00781ED5"/>
    <w:rsid w:val="00786190"/>
    <w:rsid w:val="007B0253"/>
    <w:rsid w:val="007B0899"/>
    <w:rsid w:val="007C0821"/>
    <w:rsid w:val="007C4B05"/>
    <w:rsid w:val="007C7E6C"/>
    <w:rsid w:val="007D710B"/>
    <w:rsid w:val="007D72CE"/>
    <w:rsid w:val="007E574B"/>
    <w:rsid w:val="007E59B2"/>
    <w:rsid w:val="007F56DC"/>
    <w:rsid w:val="00812595"/>
    <w:rsid w:val="00813888"/>
    <w:rsid w:val="00814CDD"/>
    <w:rsid w:val="00824F48"/>
    <w:rsid w:val="00826349"/>
    <w:rsid w:val="00847740"/>
    <w:rsid w:val="008559FB"/>
    <w:rsid w:val="00877A24"/>
    <w:rsid w:val="00884D0A"/>
    <w:rsid w:val="00885526"/>
    <w:rsid w:val="00890B3D"/>
    <w:rsid w:val="00895558"/>
    <w:rsid w:val="008B5ED9"/>
    <w:rsid w:val="008B643A"/>
    <w:rsid w:val="008C1BFE"/>
    <w:rsid w:val="008F16EE"/>
    <w:rsid w:val="0091666C"/>
    <w:rsid w:val="00945496"/>
    <w:rsid w:val="0094793C"/>
    <w:rsid w:val="00950E0A"/>
    <w:rsid w:val="0095333C"/>
    <w:rsid w:val="009611A6"/>
    <w:rsid w:val="00964314"/>
    <w:rsid w:val="00980319"/>
    <w:rsid w:val="009835C4"/>
    <w:rsid w:val="009852F9"/>
    <w:rsid w:val="00991E68"/>
    <w:rsid w:val="009955D6"/>
    <w:rsid w:val="009B2CEF"/>
    <w:rsid w:val="009B2F24"/>
    <w:rsid w:val="009B796D"/>
    <w:rsid w:val="009D16D2"/>
    <w:rsid w:val="009D6752"/>
    <w:rsid w:val="00A01416"/>
    <w:rsid w:val="00A034B4"/>
    <w:rsid w:val="00A03C75"/>
    <w:rsid w:val="00A10D31"/>
    <w:rsid w:val="00A12618"/>
    <w:rsid w:val="00A16486"/>
    <w:rsid w:val="00A176E3"/>
    <w:rsid w:val="00A24103"/>
    <w:rsid w:val="00A3290D"/>
    <w:rsid w:val="00A57587"/>
    <w:rsid w:val="00A57647"/>
    <w:rsid w:val="00A6221E"/>
    <w:rsid w:val="00A75926"/>
    <w:rsid w:val="00AB16C7"/>
    <w:rsid w:val="00AD480D"/>
    <w:rsid w:val="00AE615A"/>
    <w:rsid w:val="00AF1815"/>
    <w:rsid w:val="00AF7EB4"/>
    <w:rsid w:val="00B01497"/>
    <w:rsid w:val="00B06290"/>
    <w:rsid w:val="00B41AE0"/>
    <w:rsid w:val="00B429D3"/>
    <w:rsid w:val="00B46C46"/>
    <w:rsid w:val="00B63CCE"/>
    <w:rsid w:val="00B75159"/>
    <w:rsid w:val="00BB7C2B"/>
    <w:rsid w:val="00BD6D54"/>
    <w:rsid w:val="00BE1470"/>
    <w:rsid w:val="00C15CFB"/>
    <w:rsid w:val="00C357E2"/>
    <w:rsid w:val="00C411AB"/>
    <w:rsid w:val="00C41681"/>
    <w:rsid w:val="00C467C2"/>
    <w:rsid w:val="00C55917"/>
    <w:rsid w:val="00C60696"/>
    <w:rsid w:val="00C85273"/>
    <w:rsid w:val="00C87C39"/>
    <w:rsid w:val="00C93E1B"/>
    <w:rsid w:val="00CC3219"/>
    <w:rsid w:val="00CC6F6C"/>
    <w:rsid w:val="00CF2EE3"/>
    <w:rsid w:val="00CF74DE"/>
    <w:rsid w:val="00D13792"/>
    <w:rsid w:val="00D2373E"/>
    <w:rsid w:val="00D23EEA"/>
    <w:rsid w:val="00D266DA"/>
    <w:rsid w:val="00D323A4"/>
    <w:rsid w:val="00D368DC"/>
    <w:rsid w:val="00D663FF"/>
    <w:rsid w:val="00D869F2"/>
    <w:rsid w:val="00DB05F2"/>
    <w:rsid w:val="00DB0773"/>
    <w:rsid w:val="00E012C3"/>
    <w:rsid w:val="00E0627D"/>
    <w:rsid w:val="00E267C6"/>
    <w:rsid w:val="00E50D89"/>
    <w:rsid w:val="00E57ED1"/>
    <w:rsid w:val="00E71AC2"/>
    <w:rsid w:val="00E74FB1"/>
    <w:rsid w:val="00E75581"/>
    <w:rsid w:val="00E94A42"/>
    <w:rsid w:val="00EA340A"/>
    <w:rsid w:val="00EC16C7"/>
    <w:rsid w:val="00EC5FFB"/>
    <w:rsid w:val="00EE74BC"/>
    <w:rsid w:val="00F0407F"/>
    <w:rsid w:val="00F24F3D"/>
    <w:rsid w:val="00F43C1B"/>
    <w:rsid w:val="00F51FA1"/>
    <w:rsid w:val="00F5549E"/>
    <w:rsid w:val="00F651FC"/>
    <w:rsid w:val="00F94FD0"/>
    <w:rsid w:val="00FA3B89"/>
    <w:rsid w:val="00FA7703"/>
    <w:rsid w:val="00FC476E"/>
    <w:rsid w:val="00FC5030"/>
    <w:rsid w:val="00FE585F"/>
    <w:rsid w:val="00FF05F0"/>
    <w:rsid w:val="00FF3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3D3F4"/>
  <w15:chartTrackingRefBased/>
  <w15:docId w15:val="{AABC3EF5-34B5-4C82-AFEB-65401615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32"/>
    </w:rPr>
  </w:style>
  <w:style w:type="paragraph" w:styleId="Heading7">
    <w:name w:val="heading 7"/>
    <w:basedOn w:val="Normal"/>
    <w:next w:val="Normal"/>
    <w:link w:val="Heading7Char"/>
    <w:uiPriority w:val="9"/>
    <w:semiHidden/>
    <w:unhideWhenUsed/>
    <w:qFormat/>
    <w:rsid w:val="007E59B2"/>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semiHidden/>
    <w:pPr>
      <w:jc w:val="both"/>
    </w:pPr>
    <w:rPr>
      <w:sz w:val="22"/>
    </w:rPr>
  </w:style>
  <w:style w:type="paragraph" w:styleId="BodyText3">
    <w:name w:val="Body Text 3"/>
    <w:basedOn w:val="Normal"/>
    <w:semiHidden/>
    <w:pPr>
      <w:jc w:val="both"/>
    </w:pPr>
    <w:rPr>
      <w:b/>
      <w:sz w:val="28"/>
    </w:rPr>
  </w:style>
  <w:style w:type="paragraph" w:styleId="PlainText">
    <w:name w:val="Plain Text"/>
    <w:basedOn w:val="Normal"/>
    <w:link w:val="PlainTextChar"/>
    <w:uiPriority w:val="99"/>
    <w:rPr>
      <w:rFonts w:ascii="Courier New" w:hAnsi="Courier New"/>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Spacing">
    <w:name w:val="No Spacing"/>
    <w:uiPriority w:val="1"/>
    <w:qFormat/>
    <w:rsid w:val="00E71AC2"/>
    <w:rPr>
      <w:rFonts w:ascii="Calibri" w:eastAsia="Calibri" w:hAnsi="Calibri"/>
      <w:sz w:val="22"/>
      <w:szCs w:val="22"/>
    </w:rPr>
  </w:style>
  <w:style w:type="paragraph" w:styleId="ListParagraph">
    <w:name w:val="List Paragraph"/>
    <w:basedOn w:val="Normal"/>
    <w:uiPriority w:val="34"/>
    <w:qFormat/>
    <w:rsid w:val="00712A9A"/>
    <w:pPr>
      <w:ind w:left="720"/>
    </w:pPr>
  </w:style>
  <w:style w:type="character" w:styleId="Hyperlink">
    <w:name w:val="Hyperlink"/>
    <w:uiPriority w:val="99"/>
    <w:unhideWhenUsed/>
    <w:rsid w:val="00B429D3"/>
    <w:rPr>
      <w:color w:val="0000FF"/>
      <w:u w:val="single"/>
    </w:rPr>
  </w:style>
  <w:style w:type="paragraph" w:customStyle="1" w:styleId="00001">
    <w:name w:val="00001"/>
    <w:basedOn w:val="Normal"/>
    <w:rsid w:val="009B2CEF"/>
    <w:pPr>
      <w:spacing w:line="280" w:lineRule="atLeast"/>
    </w:pPr>
    <w:rPr>
      <w:szCs w:val="24"/>
    </w:rPr>
  </w:style>
  <w:style w:type="paragraph" w:customStyle="1" w:styleId="00002">
    <w:name w:val="00002"/>
    <w:basedOn w:val="Normal"/>
    <w:rsid w:val="009B2CEF"/>
    <w:rPr>
      <w:szCs w:val="24"/>
    </w:rPr>
  </w:style>
  <w:style w:type="character" w:customStyle="1" w:styleId="Heading7Char">
    <w:name w:val="Heading 7 Char"/>
    <w:link w:val="Heading7"/>
    <w:uiPriority w:val="9"/>
    <w:semiHidden/>
    <w:rsid w:val="007E59B2"/>
    <w:rPr>
      <w:rFonts w:ascii="Calibri" w:eastAsia="Times New Roman" w:hAnsi="Calibri" w:cs="Times New Roman"/>
      <w:sz w:val="24"/>
      <w:szCs w:val="24"/>
    </w:rPr>
  </w:style>
  <w:style w:type="character" w:customStyle="1" w:styleId="PlainTextChar">
    <w:name w:val="Plain Text Char"/>
    <w:link w:val="PlainText"/>
    <w:uiPriority w:val="99"/>
    <w:rsid w:val="0067485A"/>
    <w:rPr>
      <w:rFonts w:ascii="Courier New" w:hAnsi="Courier New"/>
    </w:rPr>
  </w:style>
  <w:style w:type="character" w:customStyle="1" w:styleId="BodyTextChar">
    <w:name w:val="Body Text Char"/>
    <w:link w:val="BodyText"/>
    <w:semiHidden/>
    <w:rsid w:val="00824F48"/>
    <w:rPr>
      <w:sz w:val="24"/>
    </w:rPr>
  </w:style>
  <w:style w:type="character" w:customStyle="1" w:styleId="BodyText2Char">
    <w:name w:val="Body Text 2 Char"/>
    <w:link w:val="BodyText2"/>
    <w:semiHidden/>
    <w:rsid w:val="00824F48"/>
    <w:rPr>
      <w:sz w:val="22"/>
    </w:rPr>
  </w:style>
  <w:style w:type="paragraph" w:styleId="NormalWeb">
    <w:name w:val="Normal (Web)"/>
    <w:basedOn w:val="Normal"/>
    <w:uiPriority w:val="99"/>
    <w:unhideWhenUsed/>
    <w:rsid w:val="007B0253"/>
    <w:pPr>
      <w:spacing w:before="100" w:beforeAutospacing="1" w:after="100" w:afterAutospacing="1"/>
    </w:pPr>
    <w:rPr>
      <w:szCs w:val="24"/>
    </w:rPr>
  </w:style>
  <w:style w:type="character" w:styleId="IntenseEmphasis">
    <w:name w:val="Intense Emphasis"/>
    <w:uiPriority w:val="21"/>
    <w:qFormat/>
    <w:rsid w:val="00C85273"/>
    <w:rPr>
      <w:i/>
      <w:iCs/>
      <w:color w:val="5B9BD5"/>
    </w:rPr>
  </w:style>
  <w:style w:type="paragraph" w:styleId="Title">
    <w:name w:val="Title"/>
    <w:basedOn w:val="Normal"/>
    <w:link w:val="TitleChar"/>
    <w:uiPriority w:val="10"/>
    <w:qFormat/>
    <w:rsid w:val="00B01497"/>
    <w:pPr>
      <w:jc w:val="center"/>
    </w:pPr>
    <w:rPr>
      <w:b/>
      <w:bCs/>
      <w:sz w:val="28"/>
    </w:rPr>
  </w:style>
  <w:style w:type="character" w:customStyle="1" w:styleId="TitleChar">
    <w:name w:val="Title Char"/>
    <w:link w:val="Title"/>
    <w:uiPriority w:val="10"/>
    <w:rsid w:val="00B01497"/>
    <w:rPr>
      <w:b/>
      <w:bCs/>
      <w:sz w:val="28"/>
    </w:rPr>
  </w:style>
  <w:style w:type="character" w:customStyle="1" w:styleId="ssleftalign">
    <w:name w:val="ss_leftalign"/>
    <w:rsid w:val="00B01497"/>
  </w:style>
  <w:style w:type="paragraph" w:styleId="Header">
    <w:name w:val="header"/>
    <w:basedOn w:val="Normal"/>
    <w:link w:val="HeaderChar"/>
    <w:uiPriority w:val="99"/>
    <w:unhideWhenUsed/>
    <w:rsid w:val="00A034B4"/>
    <w:pPr>
      <w:tabs>
        <w:tab w:val="center" w:pos="4680"/>
        <w:tab w:val="right" w:pos="9360"/>
      </w:tabs>
    </w:pPr>
  </w:style>
  <w:style w:type="character" w:customStyle="1" w:styleId="HeaderChar">
    <w:name w:val="Header Char"/>
    <w:basedOn w:val="DefaultParagraphFont"/>
    <w:link w:val="Header"/>
    <w:uiPriority w:val="99"/>
    <w:rsid w:val="00A034B4"/>
    <w:rPr>
      <w:sz w:val="24"/>
    </w:rPr>
  </w:style>
  <w:style w:type="paragraph" w:styleId="Footer">
    <w:name w:val="footer"/>
    <w:basedOn w:val="Normal"/>
    <w:link w:val="FooterChar"/>
    <w:uiPriority w:val="99"/>
    <w:unhideWhenUsed/>
    <w:rsid w:val="00A034B4"/>
    <w:pPr>
      <w:tabs>
        <w:tab w:val="center" w:pos="4680"/>
        <w:tab w:val="right" w:pos="9360"/>
      </w:tabs>
    </w:pPr>
  </w:style>
  <w:style w:type="character" w:customStyle="1" w:styleId="FooterChar">
    <w:name w:val="Footer Char"/>
    <w:basedOn w:val="DefaultParagraphFont"/>
    <w:link w:val="Footer"/>
    <w:uiPriority w:val="99"/>
    <w:rsid w:val="00A034B4"/>
    <w:rPr>
      <w:sz w:val="24"/>
    </w:rPr>
  </w:style>
  <w:style w:type="character" w:customStyle="1" w:styleId="e24kjd">
    <w:name w:val="e24kjd"/>
    <w:rsid w:val="00B06290"/>
  </w:style>
  <w:style w:type="paragraph" w:styleId="Revision">
    <w:name w:val="Revision"/>
    <w:hidden/>
    <w:uiPriority w:val="99"/>
    <w:semiHidden/>
    <w:rsid w:val="00D2373E"/>
    <w:rPr>
      <w:sz w:val="24"/>
    </w:rPr>
  </w:style>
  <w:style w:type="character" w:styleId="UnresolvedMention">
    <w:name w:val="Unresolved Mention"/>
    <w:basedOn w:val="DefaultParagraphFont"/>
    <w:uiPriority w:val="99"/>
    <w:semiHidden/>
    <w:unhideWhenUsed/>
    <w:rsid w:val="00494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2781">
      <w:bodyDiv w:val="1"/>
      <w:marLeft w:val="0"/>
      <w:marRight w:val="0"/>
      <w:marTop w:val="0"/>
      <w:marBottom w:val="0"/>
      <w:divBdr>
        <w:top w:val="none" w:sz="0" w:space="0" w:color="auto"/>
        <w:left w:val="none" w:sz="0" w:space="0" w:color="auto"/>
        <w:bottom w:val="none" w:sz="0" w:space="0" w:color="auto"/>
        <w:right w:val="none" w:sz="0" w:space="0" w:color="auto"/>
      </w:divBdr>
    </w:div>
    <w:div w:id="154228447">
      <w:bodyDiv w:val="1"/>
      <w:marLeft w:val="0"/>
      <w:marRight w:val="0"/>
      <w:marTop w:val="0"/>
      <w:marBottom w:val="0"/>
      <w:divBdr>
        <w:top w:val="none" w:sz="0" w:space="0" w:color="auto"/>
        <w:left w:val="none" w:sz="0" w:space="0" w:color="auto"/>
        <w:bottom w:val="none" w:sz="0" w:space="0" w:color="auto"/>
        <w:right w:val="none" w:sz="0" w:space="0" w:color="auto"/>
      </w:divBdr>
    </w:div>
    <w:div w:id="577524475">
      <w:bodyDiv w:val="1"/>
      <w:marLeft w:val="0"/>
      <w:marRight w:val="0"/>
      <w:marTop w:val="0"/>
      <w:marBottom w:val="0"/>
      <w:divBdr>
        <w:top w:val="none" w:sz="0" w:space="0" w:color="auto"/>
        <w:left w:val="none" w:sz="0" w:space="0" w:color="auto"/>
        <w:bottom w:val="none" w:sz="0" w:space="0" w:color="auto"/>
        <w:right w:val="none" w:sz="0" w:space="0" w:color="auto"/>
      </w:divBdr>
    </w:div>
    <w:div w:id="616765347">
      <w:bodyDiv w:val="1"/>
      <w:marLeft w:val="0"/>
      <w:marRight w:val="0"/>
      <w:marTop w:val="0"/>
      <w:marBottom w:val="0"/>
      <w:divBdr>
        <w:top w:val="none" w:sz="0" w:space="0" w:color="auto"/>
        <w:left w:val="none" w:sz="0" w:space="0" w:color="auto"/>
        <w:bottom w:val="none" w:sz="0" w:space="0" w:color="auto"/>
        <w:right w:val="none" w:sz="0" w:space="0" w:color="auto"/>
      </w:divBdr>
    </w:div>
    <w:div w:id="797912178">
      <w:bodyDiv w:val="1"/>
      <w:marLeft w:val="0"/>
      <w:marRight w:val="0"/>
      <w:marTop w:val="0"/>
      <w:marBottom w:val="0"/>
      <w:divBdr>
        <w:top w:val="none" w:sz="0" w:space="0" w:color="auto"/>
        <w:left w:val="none" w:sz="0" w:space="0" w:color="auto"/>
        <w:bottom w:val="none" w:sz="0" w:space="0" w:color="auto"/>
        <w:right w:val="none" w:sz="0" w:space="0" w:color="auto"/>
      </w:divBdr>
    </w:div>
    <w:div w:id="850485187">
      <w:bodyDiv w:val="1"/>
      <w:marLeft w:val="0"/>
      <w:marRight w:val="0"/>
      <w:marTop w:val="0"/>
      <w:marBottom w:val="0"/>
      <w:divBdr>
        <w:top w:val="none" w:sz="0" w:space="0" w:color="auto"/>
        <w:left w:val="none" w:sz="0" w:space="0" w:color="auto"/>
        <w:bottom w:val="none" w:sz="0" w:space="0" w:color="auto"/>
        <w:right w:val="none" w:sz="0" w:space="0" w:color="auto"/>
      </w:divBdr>
    </w:div>
    <w:div w:id="917056524">
      <w:bodyDiv w:val="1"/>
      <w:marLeft w:val="0"/>
      <w:marRight w:val="0"/>
      <w:marTop w:val="0"/>
      <w:marBottom w:val="0"/>
      <w:divBdr>
        <w:top w:val="none" w:sz="0" w:space="0" w:color="auto"/>
        <w:left w:val="none" w:sz="0" w:space="0" w:color="auto"/>
        <w:bottom w:val="none" w:sz="0" w:space="0" w:color="auto"/>
        <w:right w:val="none" w:sz="0" w:space="0" w:color="auto"/>
      </w:divBdr>
    </w:div>
    <w:div w:id="1040472131">
      <w:bodyDiv w:val="1"/>
      <w:marLeft w:val="0"/>
      <w:marRight w:val="0"/>
      <w:marTop w:val="0"/>
      <w:marBottom w:val="0"/>
      <w:divBdr>
        <w:top w:val="none" w:sz="0" w:space="0" w:color="auto"/>
        <w:left w:val="none" w:sz="0" w:space="0" w:color="auto"/>
        <w:bottom w:val="none" w:sz="0" w:space="0" w:color="auto"/>
        <w:right w:val="none" w:sz="0" w:space="0" w:color="auto"/>
      </w:divBdr>
    </w:div>
    <w:div w:id="1078940124">
      <w:bodyDiv w:val="1"/>
      <w:marLeft w:val="0"/>
      <w:marRight w:val="0"/>
      <w:marTop w:val="0"/>
      <w:marBottom w:val="0"/>
      <w:divBdr>
        <w:top w:val="none" w:sz="0" w:space="0" w:color="auto"/>
        <w:left w:val="none" w:sz="0" w:space="0" w:color="auto"/>
        <w:bottom w:val="none" w:sz="0" w:space="0" w:color="auto"/>
        <w:right w:val="none" w:sz="0" w:space="0" w:color="auto"/>
      </w:divBdr>
    </w:div>
    <w:div w:id="1101953183">
      <w:bodyDiv w:val="1"/>
      <w:marLeft w:val="0"/>
      <w:marRight w:val="0"/>
      <w:marTop w:val="0"/>
      <w:marBottom w:val="0"/>
      <w:divBdr>
        <w:top w:val="none" w:sz="0" w:space="0" w:color="auto"/>
        <w:left w:val="none" w:sz="0" w:space="0" w:color="auto"/>
        <w:bottom w:val="none" w:sz="0" w:space="0" w:color="auto"/>
        <w:right w:val="none" w:sz="0" w:space="0" w:color="auto"/>
      </w:divBdr>
    </w:div>
    <w:div w:id="1186748443">
      <w:bodyDiv w:val="1"/>
      <w:marLeft w:val="0"/>
      <w:marRight w:val="0"/>
      <w:marTop w:val="0"/>
      <w:marBottom w:val="0"/>
      <w:divBdr>
        <w:top w:val="none" w:sz="0" w:space="0" w:color="auto"/>
        <w:left w:val="none" w:sz="0" w:space="0" w:color="auto"/>
        <w:bottom w:val="none" w:sz="0" w:space="0" w:color="auto"/>
        <w:right w:val="none" w:sz="0" w:space="0" w:color="auto"/>
      </w:divBdr>
    </w:div>
    <w:div w:id="1954625729">
      <w:bodyDiv w:val="1"/>
      <w:marLeft w:val="0"/>
      <w:marRight w:val="0"/>
      <w:marTop w:val="0"/>
      <w:marBottom w:val="0"/>
      <w:divBdr>
        <w:top w:val="none" w:sz="0" w:space="0" w:color="auto"/>
        <w:left w:val="none" w:sz="0" w:space="0" w:color="auto"/>
        <w:bottom w:val="none" w:sz="0" w:space="0" w:color="auto"/>
        <w:right w:val="none" w:sz="0" w:space="0" w:color="auto"/>
      </w:divBdr>
    </w:div>
    <w:div w:id="2047675697">
      <w:bodyDiv w:val="1"/>
      <w:marLeft w:val="0"/>
      <w:marRight w:val="0"/>
      <w:marTop w:val="0"/>
      <w:marBottom w:val="0"/>
      <w:divBdr>
        <w:top w:val="none" w:sz="0" w:space="0" w:color="auto"/>
        <w:left w:val="none" w:sz="0" w:space="0" w:color="auto"/>
        <w:bottom w:val="none" w:sz="0" w:space="0" w:color="auto"/>
        <w:right w:val="none" w:sz="0" w:space="0" w:color="auto"/>
      </w:divBdr>
      <w:divsChild>
        <w:div w:id="1962035131">
          <w:marLeft w:val="0"/>
          <w:marRight w:val="0"/>
          <w:marTop w:val="0"/>
          <w:marBottom w:val="150"/>
          <w:divBdr>
            <w:top w:val="none" w:sz="0" w:space="0" w:color="auto"/>
            <w:left w:val="none" w:sz="0" w:space="0" w:color="auto"/>
            <w:bottom w:val="none" w:sz="0" w:space="0" w:color="auto"/>
            <w:right w:val="none" w:sz="0" w:space="0" w:color="auto"/>
          </w:divBdr>
          <w:divsChild>
            <w:div w:id="169763386">
              <w:marLeft w:val="0"/>
              <w:marRight w:val="0"/>
              <w:marTop w:val="0"/>
              <w:marBottom w:val="0"/>
              <w:divBdr>
                <w:top w:val="none" w:sz="0" w:space="0" w:color="auto"/>
                <w:left w:val="none" w:sz="0" w:space="0" w:color="auto"/>
                <w:bottom w:val="none" w:sz="0" w:space="0" w:color="auto"/>
                <w:right w:val="none" w:sz="0" w:space="0" w:color="auto"/>
              </w:divBdr>
              <w:divsChild>
                <w:div w:id="2103185803">
                  <w:marLeft w:val="0"/>
                  <w:marRight w:val="0"/>
                  <w:marTop w:val="0"/>
                  <w:marBottom w:val="0"/>
                  <w:divBdr>
                    <w:top w:val="none" w:sz="0" w:space="0" w:color="auto"/>
                    <w:left w:val="none" w:sz="0" w:space="0" w:color="auto"/>
                    <w:bottom w:val="none" w:sz="0" w:space="0" w:color="auto"/>
                    <w:right w:val="none" w:sz="0" w:space="0" w:color="auto"/>
                  </w:divBdr>
                  <w:divsChild>
                    <w:div w:id="757336301">
                      <w:marLeft w:val="0"/>
                      <w:marRight w:val="0"/>
                      <w:marTop w:val="0"/>
                      <w:marBottom w:val="0"/>
                      <w:divBdr>
                        <w:top w:val="none" w:sz="0" w:space="0" w:color="auto"/>
                        <w:left w:val="none" w:sz="0" w:space="0" w:color="auto"/>
                        <w:bottom w:val="none" w:sz="0" w:space="0" w:color="auto"/>
                        <w:right w:val="none" w:sz="0" w:space="0" w:color="auto"/>
                      </w:divBdr>
                      <w:divsChild>
                        <w:div w:id="129849195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ette@lad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9B0F-DAB7-456F-9117-D6302193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HB225: Tax Credit for Dentists Practicing in Underserved Areas</vt:lpstr>
    </vt:vector>
  </TitlesOfParts>
  <Company>Louisiana Dental Association</Company>
  <LinksUpToDate>false</LinksUpToDate>
  <CharactersWithSpaces>2968</CharactersWithSpaces>
  <SharedDoc>false</SharedDoc>
  <HLinks>
    <vt:vector size="6" baseType="variant">
      <vt:variant>
        <vt:i4>3735568</vt:i4>
      </vt:variant>
      <vt:variant>
        <vt:i4>0</vt:i4>
      </vt:variant>
      <vt:variant>
        <vt:i4>0</vt:i4>
      </vt:variant>
      <vt:variant>
        <vt:i4>5</vt:i4>
      </vt:variant>
      <vt:variant>
        <vt:lpwstr>mailto:info@ladental.org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HB225: Tax Credit for Dentists Practicing in Underserved Areas</dc:title>
  <dc:subject/>
  <dc:creator>Jennifer M. Canaday</dc:creator>
  <cp:keywords/>
  <cp:lastModifiedBy>Annette Droddy</cp:lastModifiedBy>
  <cp:revision>2</cp:revision>
  <cp:lastPrinted>2011-04-29T21:02:00Z</cp:lastPrinted>
  <dcterms:created xsi:type="dcterms:W3CDTF">2026-04-21T15:27:00Z</dcterms:created>
  <dcterms:modified xsi:type="dcterms:W3CDTF">2026-04-21T15:27:00Z</dcterms:modified>
</cp:coreProperties>
</file>